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E884A5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0" w:name="_dx_frag_StartFragment"/>
      <w:bookmarkEnd w:id="0"/>
      <w:bookmarkStart w:id="1" w:name="HMENU-1"/>
      <w:bookmarkEnd w:id="1"/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Формулировка задания 1 из демоверсии ФИПИ 2022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</w:p>
    <w:p>
      <w:pPr>
        <w:spacing w:before="0" w:after="375"/>
        <w:ind w:firstLine="0" w:left="0" w:right="0"/>
        <w:rPr>
          <w:rFonts w:ascii="Arial" w:hAnsi="Arial"/>
          <w:b w:val="0"/>
          <w:i w:val="0"/>
          <w:color w:val="31708F"/>
          <w:sz w:val="21"/>
          <w:shd w:val="clear" w:fill="FFFFFF"/>
        </w:rPr>
      </w:pPr>
      <w:r>
        <w:rPr>
          <w:rFonts w:ascii="Arial" w:hAnsi="Arial"/>
          <w:b w:val="1"/>
          <w:i w:val="0"/>
          <w:color w:val="31708F"/>
          <w:sz w:val="21"/>
          <w:shd w:val="clear" w:fill="FFFFFF"/>
        </w:rPr>
        <w:t>Прочитайте текст и выполните задания 1–3.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br w:type="textWrapping"/>
        <w:t>Экология – это наука о взаимодействии живых организмов и их сообществ между собой и со средой, в которой они обитают. Эти взаимоотношения изучают самые разные науки: биология и химия, астрономия и космология, математика и философия. &lt;…&gt; они вносят свой вклад в экологию, которая сегодня разделилась на ряд самостоятельных дисциплин: общую экологию, агроэкологию, гидроэкологию, экологию человека и т.д. </w:t>
        <w:br w:type="textWrapping"/>
        <w:t>Активно формируется в наши дни экология культуры, или духовная экология. Конечно, между экологией природы и экологией культуры не может быть непроходимой пропасти, вместе с тем между ними есть большое различие. Утраты в природе до известных пределов восстановимы. Иное дело – ценности культурные и нравственные. Они или восстанавливаются с большим трудом, или вовсе исчезают, как, скажем, разрушенные памятники, сгоревшие книги, рукописи… </w:t>
        <w:br w:type="textWrapping"/>
        <w:t>Если культура – это совокупность достижений общества в области науки, просвещения, искусства, то закрепляются эти достижения, как правило, в языке, в Слове. Возникнув на определённом историческом этапе, литературный язык сам по себе служит свидетельством уровня духовного развития народа, общества. Как всякое живое на Земле не может мириться со своей смертью, так и живая нация не может смириться с деградацией своего языка. Ведь язык – это и основа национальной памяти, и ключ к пониманию духовного мира, своего и чужого. </w:t>
        <w:br w:type="textWrapping"/>
        <w:t>(По Л.И. Скворцову)</w:t>
        <w:br w:type="textWrapping"/>
        <w:br w:type="textWrapping"/>
      </w:r>
      <w:r>
        <w:rPr>
          <w:rFonts w:ascii="Arial" w:hAnsi="Arial"/>
          <w:b w:val="1"/>
          <w:i w:val="0"/>
          <w:color w:val="31708F"/>
          <w:sz w:val="21"/>
          <w:shd w:val="clear" w:fill="FFFFFF"/>
        </w:rPr>
        <w:t>Задание 1.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br w:type="textWrapping"/>
        <w:t>Укажите варианты ответов, в которых даны </w:t>
      </w:r>
      <w:r>
        <w:rPr>
          <w:rFonts w:ascii="Arial" w:hAnsi="Arial"/>
          <w:b w:val="1"/>
          <w:i w:val="0"/>
          <w:color w:val="31708F"/>
          <w:sz w:val="21"/>
          <w:shd w:val="clear" w:fill="FFFFFF"/>
        </w:rPr>
        <w:t>верные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 характеристики фрагмента текста. Запишите номера этих ответов.</w:t>
        <w:br w:type="textWrapping"/>
        <w:t>1) Наряду с общеупотребительной лексикой в тексте используются термины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экология, агроэкология, гидроэкология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 и др.), тематическая группа слов, отражающая проблематику текста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культура, природа, ценности, памятники, исторический этап, литературный язык, нация, память, духовный мир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 и др.).</w:t>
        <w:br w:type="textWrapping"/>
        <w:t>2) Использование метафор (...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между экологией природы и экологией культуры не может быть непроходимой пропасти; ключ к пониманию духовного мира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); антонимов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свой-чужой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), сравнения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Как всякое живое на Земле не может мириться со своей смертью, так и живая нация не может смириться с деградацией своего языка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.) способствует эмоциональности, выразительности изложения, помогает передать авторскую оценку описываемым явлениям.</w:t>
        <w:br w:type="textWrapping"/>
        <w:t>3) Текст содержит грамматические особенности, характерные для письменной речи: отглагольные существительные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взаимодействие, вклад, утраты, различие, достижения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t> и др.), конструкции с существительными в родительном падеже (</w:t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между экологией природы и экологией культуры, свидетельством уровня духовного развития народа, к пониманию духовного мира и др.).</w:t>
      </w:r>
      <w:r>
        <w:rPr>
          <w:rFonts w:ascii="Arial" w:hAnsi="Arial"/>
          <w:b w:val="0"/>
          <w:i w:val="0"/>
          <w:color w:val="31708F"/>
          <w:sz w:val="21"/>
          <w:shd w:val="clear" w:fill="FFFFFF"/>
        </w:rPr>
        <w:br w:type="textWrapping"/>
        <w:t>4) Выразительность текста обеспечивается синтаксическими средствами, среди которых ряды однородных членов предложения, инверсия, вводные слова.</w:t>
        <w:br w:type="textWrapping"/>
        <w:t>5) Текст относится к научному стилю речи, так как основные цели автора - сообщить информацию, имеющую практическое значение, дать чёткие инструкции.</w:t>
        <w:br w:type="textWrapping"/>
        <w:br w:type="textWrapping"/>
      </w:r>
      <w:r>
        <w:rPr>
          <w:rFonts w:ascii="Arial" w:hAnsi="Arial"/>
          <w:b w:val="0"/>
          <w:i w:val="1"/>
          <w:color w:val="31708F"/>
          <w:sz w:val="21"/>
          <w:shd w:val="clear" w:fill="FFFFFF"/>
        </w:rPr>
        <w:t>Ответ:1234</w:t>
      </w: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2" w:name="HMENU-2"/>
      <w:bookmarkEnd w:id="2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"https://rustutors.ru/egeteoriya/1134-zadanie-1.html" \l "hmenu-item-2"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Теория для задания 1 ЕГЭ по русскому языку</w:t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3" w:name="HMENU-3"/>
      <w:bookmarkEnd w:id="3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"hmenu-item-3"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Общая схема стилистического анализа текста: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стиль и жанр текста;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основную тему и идею текста. Следует помнить, что тема (предмет сообщения) – это то, о чем говорится в тексте; она может быть представлена в заголовке, тематическом предложении (предложениях, абзаце), ключевых словах; Идея текста (его основная мысль) – то, что говорится о предмете сообщения (теме).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сферу коммуникации (для научного стиля – наука, для официально-делового стиля – административно-правовые отношения, для газетно-публицистического стиля – политико-идеологические, общественные отношения, т. е. массовая коммуникация, для разговорного стиля – повседневные, бытовые отношения), обозначаем ситуацию, на которую текст ориентирован, выясняем, кто автор текста и его адресат. 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Выделяем основные функции и цели текста (общение, сообщение, воздействие и др.);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форму речи (письменная, устная), тип речи (описание, повествование, рассуждение и их возможное сочетание), вид речи (монолог, диалог, полилог);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Выделяем стилевые черты, особенности, присущие тексту. Например, для текстов научного стиля – логичность, последовательность повествования и др. 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стилистические языковые средства: лексико-фразеологические, морфологические и синтаксические и др.</w:t>
      </w:r>
    </w:p>
    <w:p>
      <w:pPr>
        <w:numPr>
          <w:ilvl w:val="0"/>
          <w:numId w:val="1"/>
        </w:numPr>
        <w:spacing w:before="0" w:after="0"/>
        <w:ind w:hanging="360" w:left="72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Определяем индивидуально-авторские стилистические особенности текста.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</w:p>
    <w:p>
      <w:pPr>
        <w:spacing w:before="240" w:after="240"/>
        <w:ind w:firstLine="0" w:left="0" w:right="0"/>
        <w:outlineLvl w:val="1"/>
        <w:rPr>
          <w:rFonts w:ascii="Arial" w:hAnsi="Arial"/>
          <w:b w:val="1"/>
          <w:i w:val="0"/>
          <w:color w:val="444444"/>
          <w:sz w:val="36"/>
          <w:shd w:val="clear" w:fill="FFFFFF"/>
        </w:rPr>
      </w:pPr>
      <w:bookmarkStart w:id="4" w:name="HMENU-4"/>
      <w:bookmarkEnd w:id="4"/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instrText>HYPERLINK "https://rustutors.ru/egeteoriya/1134-zadanie-1.html" \l "hmenu-item-4"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36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36"/>
          <w:shd w:val="clear" w:fill="FFFFFF"/>
        </w:rPr>
        <w:t> Функциональные стили речи</w:t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5" w:name="HMENU-5"/>
      <w:bookmarkEnd w:id="5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"hmenu-item-5"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Научный стиль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Научный стиль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стиль, обеспечивающий получение и сохранение научных знаний.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Основная сфера использования/употребления научного стиля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прежде всего сама наука, сфера научной деятельности, обучения и просвещения.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Цели и функции: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сообщить новую научную информацию, доказать ее истинность, закрепить и передать научные знания людям, стремящимся получить образование, по возможности полно и точно объяснить факты окружающей нас действительности, показать причинно-следственные связи между явлениями, выявить закономерности исторического развития и т.д. информировать ученых, специалистов и неспециалистов о достижениях научных исследований,  популяризация научных знаний</w:t>
        <w:br w:type="textWrapping"/>
        <w:t>Основные функции: сообщение информации, доказательство ее истинности.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Адресат: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ученые, будущие специалисты, ученики; любой человек, интересующийся наукой.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Автор: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ученые и специалисты в своей области.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Форма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научный стиль относится к письменно-книжному типу речи, хотя может проявляться и в устной форме в виде докладов, лекций и пр. Устная форма является здесь вторичной, потому что для научной речи характерна предварительная продуманность, подготовленность и тщательность ее оформления.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Вид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преимущественно монологический характер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Тип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может быть представлен любым типом речи (повествованием, рассуждением, описанием)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Стилевые черты: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отвлеченность, обобщенность, подчеркнутая логичность, точность, сухость, строгость, логическая последовательность изложения, сжатость, однозначность выражения, информативность, объективность, доказательность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Жанры научного стиля: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диссертация, монография, научная статья, тезисы, лекция, доклад, учебник, реферат, аннотация, документация, каталог, справочник, инструкция, рецензия, научный обзор, очерк, научно-популярная книга и др.</w:t>
        <w:br w:type="textWrapping"/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6" w:name="HMENU-6"/>
      <w:bookmarkEnd w:id="6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"hmenu-item-6"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Официально-деловой стиль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Официально-деловой стиль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– это стиль официального документального общения государства с государством, государства с гражданином и граждан между собой.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Основные сферы использования: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право (законодательство, делопроизводство, административно-правовая деятельность)</w:t>
        <w:br w:type="textWrapping"/>
        <w:t>Этот стиль обслуживает сферу отношений, возникающих между государственными органами, между организациями или внутри них, между организациями и частными лицами в процессе производственной, хозяйственной и юридической деятельности. Т.е. официально-деловой стиль удовлетворяет потребность общества в документальном оформлении разных актов государственной, общественной, политической, экономической жизни, деловых отношений между государством и организациями, а также между членами общества в официальной коммуникации.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Цели и функции: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информационная, предписывающая (предписания государства, органа, уполномоченного лица), констатирующая (констатация положения дел, состояния), регулирующая (отношения в обществе, действия и поведения людей, а также функционирование объединений и государственных органов), регламентирующая.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Адресат: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государство, граждане государства, учреждения, служащие и др.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Автор: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юрист, правовед, дипломат и просто гражданин.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Форма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основная форма – письменная, что связано с необходимостью документировать информацию, придавая ей правовую значимость с помощью особого построения служебных документов.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Вид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преимущественно монолог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Тип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в официально-деловом стиле отсутствует анализ и аргументация (этот процесс предшествует составлению официально-деловых текстов), поэтому официально-деловому стилю свойствен особый способ изложения («инструктирование»). 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Стилевые черты: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объективность и безличность выражения; точность, не допускающая иных толкований; стереотипность; стандартизированность изложения; долженствующе-предписующий характер (императивность), сжатость и краткость, обобщенность, официальность, безэмоционльность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Жанры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: законы, указы, постановления, нормативные акты, документы, договоры, уставы, приказы, распоряжения, инструкции, служебные переписки, деловые бумаги, контракты и др.</w:t>
        <w:br w:type="textWrapping"/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7" w:name="HMENU-7"/>
      <w:bookmarkEnd w:id="7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"hmenu-item-7"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Разговорный стиль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Разговорный стиль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это неофициальная речь в условиях непосредственного общения, заранее неподготовленная, диалогическая, устная.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Устная речь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 неподготовленная диалогическая речь в условиях свободного общения ее участников.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Сфера использования: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бытовая и деловая сфера общения.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Цели и функции: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общение, обмен впечатлениями, информацией.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Форма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разговорный стиль находит свое выражение как в письменной форме (реплики персонажей в пьесах, записи в дневниках, тексты писем на обиходные темы), так и в устной (чаще в устной).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Вид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преимущественно диалог.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Тип речи: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может быть представлен любым типом речи (повествованием, рассуждением, описанием).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Стилевые черты: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непринужденность, неофициальность; неподготовленность речи, фамильярность; конкретность; непоследовательность, адресность речи, прерывистость; эмоционально-оценочная информативность; аффективность; личностный характер; идиоматичность, использование мимики и жестов, приоритет содержания над формой, стремление к экономии речевых средств.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Жанры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: диалог, личные письма, записки, разговор, телефонный разговор, беседа, спор, дневник.</w:t>
        <w:br w:type="textWrapping"/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8" w:name="HMENU-8"/>
      <w:bookmarkEnd w:id="8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"hmenu-item-8"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Публицистический стиль</w:t>
      </w:r>
    </w:p>
    <w:p>
      <w:pPr>
        <w:spacing w:before="0" w:after="0"/>
        <w:ind w:firstLine="0" w:left="0" w:right="0"/>
        <w:rPr>
          <w:rFonts w:ascii="Arial" w:hAnsi="Arial"/>
          <w:b w:val="0"/>
          <w:i w:val="0"/>
          <w:color w:val="444444"/>
          <w:sz w:val="21"/>
          <w:shd w:val="clear" w:fill="FFFFFF"/>
        </w:rPr>
      </w:pP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Публицистический стиль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– один из функциональных стилей, обслуживающий широкую область общественных отношений: политических, экономических, культурных, спортивных и др.; он используется в политической литературе, его представляют средства массовой информации (СМИ) — газеты, журналы, радио, телевидение, документальное кино.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Сфера: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политико-идеологические, общественные и культурные отношения (политика, идеология, философия, экономика, культура, спорт, повседневный быт, текущие события и др.)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Стилевые черты: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(скрытая и открытая) оценочность; призывность; рекламность (привлечение внимания); «эффект новизны» (использование неожиданных средств); собирательность; документально-фактологическая точность; сдержанность; некоторая официальность, эмоциональность, образность, субъективность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Автор: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конкретная личность, журналист, писатель, общественный деятель.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Адресат: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информация предназначена для широких слоев общества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Цели и функции: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воздействие на общественное сознание, информирование (сообщение новостей), оценка фактов и событий.</w:t>
        <w:br w:type="textWrapping"/>
        <w:t>Взаимодействие этих двух функций проявляется в том, что публицистические тексты содержат, во-первых, объективную информацию, во-вторых, эмоционально-экспрессивную интерпретацию этой информации, позволяющую воздействовать на чита-</w:t>
        <w:br w:type="textWrapping"/>
        <w:t>теля или слушателя.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Жанры: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публичное выступление, речь (доклад), дискуссия, критическая заметка, репортаж, интервью, статья, рецензия, очерк, зарисовка, фельетон, памфлет, эссе, хроника и др.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Форма речи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: публицистический стиль имеет письменную (газеты и журналы) и устную форму (радио и телевидение). Основой является письменная речь.</w:t>
        <w:br w:type="textWrapping"/>
      </w:r>
    </w:p>
    <w:p>
      <w:pPr>
        <w:spacing w:before="240" w:after="240"/>
        <w:ind w:firstLine="0" w:left="0" w:right="0"/>
        <w:outlineLvl w:val="2"/>
        <w:rPr>
          <w:rFonts w:ascii="Arial" w:hAnsi="Arial"/>
          <w:b w:val="1"/>
          <w:i w:val="0"/>
          <w:color w:val="444444"/>
          <w:sz w:val="27"/>
          <w:shd w:val="clear" w:fill="FFFFFF"/>
        </w:rPr>
      </w:pPr>
      <w:bookmarkStart w:id="9" w:name="HMENU-9"/>
      <w:bookmarkEnd w:id="9"/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begin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instrText>HYPERLINK "https://rustutors.ru/egeteoriya/1134-zadanie-1.html" \l "hmenu-item-9" \o "К меню"</w:instrTex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separate"/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t>↑</w:t>
      </w:r>
      <w:r>
        <w:rPr>
          <w:rStyle w:val="C2"/>
          <w:rFonts w:ascii="Arial" w:hAnsi="Arial"/>
          <w:b w:val="1"/>
          <w:i w:val="0"/>
          <w:strike w:val="0"/>
          <w:color w:val="0089FF"/>
          <w:sz w:val="27"/>
          <w:u w:val="none"/>
          <w:shd w:val="nil" w:fill="auto"/>
        </w:rPr>
        <w:fldChar w:fldCharType="end"/>
      </w:r>
      <w:r>
        <w:rPr>
          <w:rFonts w:ascii="Arial" w:hAnsi="Arial"/>
          <w:b w:val="1"/>
          <w:i w:val="0"/>
          <w:color w:val="444444"/>
          <w:sz w:val="27"/>
          <w:shd w:val="clear" w:fill="FFFFFF"/>
        </w:rPr>
        <w:t> Художественный стиль</w:t>
      </w:r>
    </w:p>
    <w:p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Художественный стиль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- функциональный стиль речи, являющийся инструментом художественного творчества и сочетающий в себе языковые средства всех других стилей речи.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Основная сфера использования/употребления: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литература, литературное художественное творчество, творческая сфера.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Цели и функции: 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эстетическая функция (эстетическое воздействие и воспитание и развитие) (форма выражения не менее важна, чем содержание), функция воздействия, коммуникативная.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Автор: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писатель, поэт,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Форма речи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: преимущественно письменная.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Стилевые черты: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> образность; эстетически направленная экспрессивность; явная эмоциональность; совмещение средств всех стилей в художественных целях, особая роль подтекста, индивидуальный авторский стиль, метафоричность, неповторимость образов; индивидуальность, которую формирует сам автор путем отбора и организации языковых средств.</w:t>
        <w:br w:type="textWrapping"/>
      </w:r>
      <w:r>
        <w:rPr>
          <w:rFonts w:ascii="Arial" w:hAnsi="Arial"/>
          <w:b w:val="1"/>
          <w:i w:val="0"/>
          <w:color w:val="444444"/>
          <w:sz w:val="21"/>
          <w:shd w:val="clear" w:fill="FFFFFF"/>
        </w:rPr>
        <w:t>Жанры:</w:t>
      </w:r>
      <w:r>
        <w:rPr>
          <w:rFonts w:ascii="Arial" w:hAnsi="Arial"/>
          <w:b w:val="0"/>
          <w:i w:val="0"/>
          <w:color w:val="444444"/>
          <w:sz w:val="21"/>
          <w:shd w:val="clear" w:fill="FFFFFF"/>
        </w:rPr>
        <w:t xml:space="preserve"> эпопея, роман, повесть, рассказ, сказка, басня, ода, гимн, песня, элегия, сонет, эпиграмма, послание, поэма, баллада, трагедия, научно-художественный жанр, комедия. </w:t>
      </w:r>
    </w:p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B37FCC1"/>
    <w:multiLevelType w:val="hybridMultilevel"/>
    <w:lvl w:ilvl="0" w:tplc="1A4B20B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777E42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06D098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EE95AFD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73BF7D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55A1320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B9DCAE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71A5B7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22430F48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